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52EF9DE7" w14:textId="5DF56955" w:rsidR="00FD14FB" w:rsidRDefault="00FC70E8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 Black" w:hAnsi="Arial Black"/>
          <w:color w:val="7030A0"/>
          <w:sz w:val="36"/>
          <w:szCs w:val="36"/>
        </w:rPr>
        <w:t>Dodávka infuzní techniky pro MMN a.s.</w:t>
      </w: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4D4E52E3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211EC0E7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0E8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